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91</w:t>
      </w:r>
    </w:p>
    <w:p>
      <w:r>
        <w:t>Bundesgericht (BGE), 1980-06-23, DE</w:t>
      </w:r>
    </w:p>
    <w:p>
      <w:r>
        <w:rPr>
          <w:b/>
        </w:rPr>
        <w:t xml:space="preserve">Quelle: </w:t>
      </w:r>
      <w:r>
        <w:t>https://mcp.opencaselaw.ch/entscheid/bge_106 V 91</w:t>
      </w:r>
    </w:p>
    <w:p>
      <w:r>
        <w:t>FR: ATF 106 V 91</w:t>
      </w:r>
    </w:p>
    <w:p>
      <w:r>
        <w:t>IT: DTF 106 V 91</w:t>
      </w:r>
    </w:p>
    <w:p>
      <w:pPr>
        <w:pStyle w:val="Heading2"/>
      </w:pPr>
      <w:r>
        <w:t>Regeste</w:t>
      </w:r>
    </w:p>
    <w:p>
      <w:r>
        <w:t>Regeste Art. 128 OG und 5 VwVG. Bei einer Leistungsverfügung ist der Entscheid über die Frage, ob einem Versicherten die halbe Rente als ordentliche oder als Härtefall-Rente gewährt wird, nicht Gegenstand des Dispositivs. Verlangt der Versicherte keine Abänderung des Dispositivs, ist zu prüfen, ob er ein schutzwürdiges Interesse an der sofortigen Feststellung hinsichtlich des angefochtenen Verfügungsbestandteils hat. Art. 28 Abs. 1 und 41 IVG. Bei Wegfall der Härtefall-Rente hat der Versicherte grundsätzlich Anspruch auf Überprüfung der Frage, ob ihm die halbe Rente nicht unter der normalen Voraussetzung einer mindestens hälftigen Invalidität zusteht.</w:t>
      </w:r>
    </w:p>
    <w:p>
      <w:pPr>
        <w:pStyle w:val="Heading2"/>
      </w:pPr>
      <w:r>
        <w:t>Erwägungen</w:t>
      </w:r>
    </w:p>
    <w:p>
      <w:r>
        <w:rPr>
          <w:b/>
        </w:rPr>
        <w:t>E. 1</w:t>
      </w:r>
    </w:p>
    <w:p>
      <w:r>
        <w:t>Bei einer Verfügung über Versicherungsleistungen bildet grundsätzlich einzig die Leistung Gegenstand des Dispositivs. Die Beantwortung der Frage, welcher Invaliditätsgrad der Rentenzusprechung zugrundegelegt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102 V 150 ).</w:t>
      </w:r>
    </w:p>
    <w:p>
      <w:r>
        <w:rPr>
          <w:b/>
        </w:rPr>
        <w:t>E. 2</w:t>
      </w:r>
    </w:p>
    <w:p>
      <w:r>
        <w:t>Mit der Verwaltungsgerichtsbeschwerde beantragt der Beschwerdeführer nicht die Ausrichtung einer ganzen Rente, BGE 106 V 91 S. 93 sondern er möchte lediglich erreichen, dass ihm die halbe Rente als ordentliche anstatt als Härtefall-Rente zugesprochen wird. Da es sich bei der hier zu beurteilenden Verfügung vom 31. Januar 1979 klarerweise um eine Leistungsverfügung handelt und im Begehren des Beschwerdeführers auch kein Antrag auf Abänderung des Dispositivs erblickt werden kann, ist nach dem Gesagten nur zu prüfen, ob der Beschwerdeführer an der sofortigen Feststellung seines Begehrens ein schutzwürdiges Interesse hat. Ein solches würde bestehen, wenn der Beschwerdeführer die Voraussetzungen für den Härtefall in Kürze nicht mehr erfüllen oder wenn er beabsichtigen würde, demnächst die Schweiz zu verlassen. Da keine dieser Möglichkeiten zur Zeit aktuell ist, fehlt es an dem verlangten Rechtsschutzinteresse. Auf die Verwaltungsgerichtsbeschwerde ist daher nicht einzutreten. Es kann jedoch darauf hingewiesen werden, dass der Beschwerdeführer bei Aufhebung der halben Rente zufolge Wegfalls der finanziellen Härte oder zufolge Wegzugs aus der Schweiz Anspruch auf Überprüfung der Frage hat, ob ihm die halbe Rente nicht auch unter der normalen Voraussetzung einer mindestens hälftigen Invalidität zu gewähren ist. Sollte dannzumal diese Frage verneint werden, hat er die Möglichkeit, die Aufhebungsverfügung mit dieser Begründung anzufechten.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